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11251" w14:textId="622FD12E" w:rsidR="00E9074E" w:rsidRPr="00E9074E" w:rsidRDefault="00E9074E" w:rsidP="00D55080">
      <w:pPr>
        <w:numPr>
          <w:ilvl w:val="12"/>
          <w:numId w:val="0"/>
        </w:numPr>
        <w:spacing w:after="120"/>
        <w:rPr>
          <w:rFonts w:ascii="Arial" w:hAnsi="Arial"/>
          <w:b/>
          <w:sz w:val="24"/>
        </w:rPr>
      </w:pPr>
      <w:bookmarkStart w:id="0" w:name="_GoBack"/>
      <w:bookmarkEnd w:id="0"/>
      <w:r>
        <w:rPr>
          <w:rFonts w:ascii="Arial" w:hAnsi="Arial"/>
          <w:b/>
          <w:sz w:val="24"/>
        </w:rPr>
        <w:t xml:space="preserve">Beschreibung des </w:t>
      </w:r>
      <w:r w:rsidRPr="00E9074E">
        <w:rPr>
          <w:rFonts w:ascii="Arial" w:hAnsi="Arial"/>
          <w:b/>
          <w:sz w:val="24"/>
        </w:rPr>
        <w:t>Bewertungsschema</w:t>
      </w:r>
      <w:r>
        <w:rPr>
          <w:rFonts w:ascii="Arial" w:hAnsi="Arial"/>
          <w:b/>
          <w:sz w:val="24"/>
        </w:rPr>
        <w:t>s</w:t>
      </w:r>
      <w:r w:rsidRPr="00E9074E">
        <w:rPr>
          <w:rFonts w:ascii="Arial" w:hAnsi="Arial"/>
          <w:b/>
          <w:sz w:val="24"/>
        </w:rPr>
        <w:t xml:space="preserve"> zur Ermittlung des risikobasierten Überwachungsturnus</w:t>
      </w:r>
      <w:r w:rsidR="001E59BD">
        <w:rPr>
          <w:rFonts w:ascii="Arial" w:hAnsi="Arial"/>
          <w:b/>
          <w:sz w:val="24"/>
        </w:rPr>
        <w:t xml:space="preserve"> (barrierefrei)</w:t>
      </w:r>
    </w:p>
    <w:p w14:paraId="250876B5" w14:textId="7AB5E529" w:rsidR="00284C67" w:rsidRPr="00284C67" w:rsidRDefault="00E9074E" w:rsidP="00D55080">
      <w:pPr>
        <w:numPr>
          <w:ilvl w:val="12"/>
          <w:numId w:val="0"/>
        </w:numPr>
        <w:spacing w:after="360"/>
        <w:rPr>
          <w:rFonts w:ascii="Arial" w:hAnsi="Arial" w:cs="Arial"/>
          <w:color w:val="000000" w:themeColor="text1"/>
          <w:sz w:val="24"/>
          <w:szCs w:val="24"/>
        </w:rPr>
      </w:pPr>
      <w:r w:rsidRPr="00284C67">
        <w:rPr>
          <w:rFonts w:ascii="Arial" w:hAnsi="Arial" w:cs="Arial"/>
          <w:color w:val="000000" w:themeColor="text1"/>
          <w:sz w:val="24"/>
          <w:szCs w:val="24"/>
        </w:rPr>
        <w:t xml:space="preserve">Das Bewertungsschema </w:t>
      </w:r>
      <w:r w:rsidR="009B5854">
        <w:rPr>
          <w:rFonts w:ascii="Arial" w:hAnsi="Arial" w:cs="Arial"/>
          <w:color w:val="000000" w:themeColor="text1"/>
          <w:sz w:val="24"/>
          <w:szCs w:val="24"/>
        </w:rPr>
        <w:t xml:space="preserve">zur Ermittlung des risikobasierten Überwachungsturnus bei E-Anlagen </w:t>
      </w:r>
      <w:r w:rsidR="00192A7A">
        <w:rPr>
          <w:rFonts w:ascii="Arial" w:hAnsi="Arial" w:cs="Arial"/>
          <w:color w:val="000000" w:themeColor="text1"/>
          <w:sz w:val="24"/>
          <w:szCs w:val="24"/>
        </w:rPr>
        <w:t>bezeichnet</w:t>
      </w:r>
      <w:r w:rsidR="001F16AF" w:rsidRPr="00284C67">
        <w:rPr>
          <w:rFonts w:ascii="Arial" w:hAnsi="Arial" w:cs="Arial"/>
          <w:color w:val="000000" w:themeColor="text1"/>
          <w:sz w:val="24"/>
          <w:szCs w:val="24"/>
        </w:rPr>
        <w:t xml:space="preserve"> im Dokumentenkopf zunächst den Betreiber, be</w:t>
      </w:r>
      <w:r w:rsidR="00192A7A">
        <w:rPr>
          <w:rFonts w:ascii="Arial" w:hAnsi="Arial" w:cs="Arial"/>
          <w:color w:val="000000" w:themeColor="text1"/>
          <w:sz w:val="24"/>
          <w:szCs w:val="24"/>
        </w:rPr>
        <w:t>nennt</w:t>
      </w:r>
      <w:r w:rsidR="001F16AF" w:rsidRPr="00284C67">
        <w:rPr>
          <w:rFonts w:ascii="Arial" w:hAnsi="Arial" w:cs="Arial"/>
          <w:color w:val="000000" w:themeColor="text1"/>
          <w:sz w:val="24"/>
          <w:szCs w:val="24"/>
        </w:rPr>
        <w:t xml:space="preserve"> die A</w:t>
      </w:r>
      <w:r w:rsidR="00E50FF6">
        <w:rPr>
          <w:rFonts w:ascii="Arial" w:hAnsi="Arial" w:cs="Arial"/>
          <w:color w:val="000000" w:themeColor="text1"/>
          <w:sz w:val="24"/>
          <w:szCs w:val="24"/>
        </w:rPr>
        <w:t>nlage und gibt die zugehörige</w:t>
      </w:r>
      <w:r w:rsidR="001F16AF" w:rsidRPr="00284C67">
        <w:rPr>
          <w:rFonts w:ascii="Arial" w:hAnsi="Arial" w:cs="Arial"/>
          <w:color w:val="000000" w:themeColor="text1"/>
          <w:sz w:val="24"/>
          <w:szCs w:val="24"/>
        </w:rPr>
        <w:t xml:space="preserve"> Ziffer </w:t>
      </w:r>
      <w:r w:rsidR="00192A7A" w:rsidRPr="00284C67">
        <w:rPr>
          <w:rFonts w:ascii="Arial" w:hAnsi="Arial" w:cs="Arial"/>
          <w:color w:val="000000" w:themeColor="text1"/>
          <w:sz w:val="24"/>
          <w:szCs w:val="24"/>
        </w:rPr>
        <w:t xml:space="preserve">des Anhang 1 </w:t>
      </w:r>
      <w:r w:rsidR="001F16AF" w:rsidRPr="00284C67">
        <w:rPr>
          <w:rFonts w:ascii="Arial" w:hAnsi="Arial" w:cs="Arial"/>
          <w:color w:val="000000" w:themeColor="text1"/>
          <w:sz w:val="24"/>
          <w:szCs w:val="24"/>
        </w:rPr>
        <w:t xml:space="preserve">der IE-RL </w:t>
      </w:r>
      <w:r w:rsidR="00E50FF6">
        <w:rPr>
          <w:rFonts w:ascii="Arial" w:hAnsi="Arial" w:cs="Arial"/>
          <w:color w:val="000000" w:themeColor="text1"/>
          <w:sz w:val="24"/>
          <w:szCs w:val="24"/>
        </w:rPr>
        <w:t>sowie</w:t>
      </w:r>
      <w:r w:rsidR="001F16AF" w:rsidRPr="00284C67">
        <w:rPr>
          <w:rFonts w:ascii="Arial" w:hAnsi="Arial" w:cs="Arial"/>
          <w:color w:val="000000" w:themeColor="text1"/>
          <w:sz w:val="24"/>
          <w:szCs w:val="24"/>
        </w:rPr>
        <w:t xml:space="preserve"> der 4. BImSchV an. Sodann </w:t>
      </w:r>
      <w:r w:rsidR="00682587" w:rsidRPr="00284C67">
        <w:rPr>
          <w:rFonts w:ascii="Arial" w:hAnsi="Arial" w:cs="Arial"/>
          <w:color w:val="000000" w:themeColor="text1"/>
          <w:sz w:val="24"/>
          <w:szCs w:val="24"/>
        </w:rPr>
        <w:t xml:space="preserve">ist das </w:t>
      </w:r>
      <w:r w:rsidR="001F16AF" w:rsidRPr="00284C67">
        <w:rPr>
          <w:rFonts w:ascii="Arial" w:hAnsi="Arial" w:cs="Arial"/>
          <w:color w:val="000000" w:themeColor="text1"/>
          <w:sz w:val="24"/>
          <w:szCs w:val="24"/>
        </w:rPr>
        <w:t xml:space="preserve">Schema </w:t>
      </w:r>
      <w:r w:rsidR="00284C67">
        <w:rPr>
          <w:rFonts w:ascii="Arial" w:hAnsi="Arial" w:cs="Arial"/>
          <w:color w:val="000000" w:themeColor="text1"/>
          <w:sz w:val="24"/>
          <w:szCs w:val="24"/>
        </w:rPr>
        <w:t xml:space="preserve">weiter </w:t>
      </w:r>
      <w:r w:rsidR="001F16AF" w:rsidRPr="00284C67">
        <w:rPr>
          <w:rFonts w:ascii="Arial" w:hAnsi="Arial" w:cs="Arial"/>
          <w:color w:val="000000" w:themeColor="text1"/>
          <w:sz w:val="24"/>
          <w:szCs w:val="24"/>
        </w:rPr>
        <w:t xml:space="preserve">in </w:t>
      </w:r>
      <w:r w:rsidRPr="00284C67">
        <w:rPr>
          <w:rFonts w:ascii="Arial" w:hAnsi="Arial" w:cs="Arial"/>
          <w:color w:val="000000" w:themeColor="text1"/>
          <w:sz w:val="24"/>
          <w:szCs w:val="24"/>
        </w:rPr>
        <w:t>die Blöcke A, B und C</w:t>
      </w:r>
      <w:r w:rsidR="00682587" w:rsidRPr="00284C67">
        <w:rPr>
          <w:rFonts w:ascii="Arial" w:hAnsi="Arial" w:cs="Arial"/>
          <w:color w:val="000000" w:themeColor="text1"/>
          <w:sz w:val="24"/>
          <w:szCs w:val="24"/>
        </w:rPr>
        <w:t xml:space="preserve"> untergliedert</w:t>
      </w:r>
      <w:r w:rsidRPr="00284C67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50BEC9F5" w14:textId="77777777" w:rsidR="005A1811" w:rsidRDefault="00284C67" w:rsidP="00FD27F6">
      <w:pPr>
        <w:pStyle w:val="berschrift1"/>
        <w:rPr>
          <w:b w:val="0"/>
        </w:rPr>
      </w:pPr>
      <w:r w:rsidRPr="00FD27F6">
        <w:t>Block</w:t>
      </w:r>
      <w:r w:rsidRPr="00284C67">
        <w:t xml:space="preserve"> A</w:t>
      </w:r>
    </w:p>
    <w:p w14:paraId="0D2FC31F" w14:textId="6CBA6CDD" w:rsidR="005A1811" w:rsidRPr="009710A7" w:rsidRDefault="00284C67" w:rsidP="009710A7">
      <w:pPr>
        <w:numPr>
          <w:ilvl w:val="12"/>
          <w:numId w:val="0"/>
        </w:numPr>
        <w:spacing w:after="360"/>
        <w:rPr>
          <w:rFonts w:ascii="Arial" w:hAnsi="Arial" w:cs="Arial"/>
          <w:color w:val="000000" w:themeColor="text1"/>
          <w:sz w:val="24"/>
          <w:szCs w:val="24"/>
        </w:rPr>
      </w:pPr>
      <w:r w:rsidRPr="00284C67">
        <w:rPr>
          <w:rFonts w:ascii="Arial" w:hAnsi="Arial" w:cs="Arial"/>
          <w:color w:val="000000" w:themeColor="text1"/>
          <w:sz w:val="24"/>
          <w:szCs w:val="24"/>
        </w:rPr>
        <w:t>I</w:t>
      </w:r>
      <w:r w:rsidR="00E9074E" w:rsidRPr="00284C67">
        <w:rPr>
          <w:rFonts w:ascii="Arial" w:hAnsi="Arial" w:cs="Arial"/>
          <w:color w:val="000000" w:themeColor="text1"/>
          <w:sz w:val="24"/>
          <w:szCs w:val="24"/>
        </w:rPr>
        <w:t xml:space="preserve">m Block A </w:t>
      </w:r>
      <w:r w:rsidRPr="00284C67">
        <w:rPr>
          <w:rFonts w:ascii="Arial" w:hAnsi="Arial" w:cs="Arial"/>
          <w:color w:val="000000" w:themeColor="text1"/>
          <w:sz w:val="24"/>
          <w:szCs w:val="24"/>
        </w:rPr>
        <w:t xml:space="preserve">wird </w:t>
      </w:r>
      <w:r w:rsidR="00E9074E" w:rsidRPr="00284C67">
        <w:rPr>
          <w:rFonts w:ascii="Arial" w:hAnsi="Arial" w:cs="Arial"/>
          <w:color w:val="000000" w:themeColor="text1"/>
          <w:sz w:val="24"/>
          <w:szCs w:val="24"/>
        </w:rPr>
        <w:t>die Anlage anhand formaler Kriterien bewertet, die analog auch auf die vom Geltungsbereich der 13.</w:t>
      </w:r>
      <w:r w:rsidR="00B136E8">
        <w:rPr>
          <w:rFonts w:ascii="Arial" w:hAnsi="Arial" w:cs="Arial"/>
          <w:color w:val="000000" w:themeColor="text1"/>
          <w:sz w:val="24"/>
          <w:szCs w:val="24"/>
        </w:rPr>
        <w:t xml:space="preserve"> bzw. </w:t>
      </w:r>
      <w:r w:rsidR="00E9074E" w:rsidRPr="00284C67">
        <w:rPr>
          <w:rFonts w:ascii="Arial" w:hAnsi="Arial" w:cs="Arial"/>
          <w:color w:val="000000" w:themeColor="text1"/>
          <w:sz w:val="24"/>
          <w:szCs w:val="24"/>
        </w:rPr>
        <w:t>17. BImSchV erfassten Anlagen anzuwenden sind.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82587" w:rsidRPr="00284C67">
        <w:rPr>
          <w:rFonts w:ascii="Arial" w:hAnsi="Arial" w:cs="Arial"/>
          <w:color w:val="000000" w:themeColor="text1"/>
          <w:sz w:val="24"/>
          <w:szCs w:val="24"/>
        </w:rPr>
        <w:t xml:space="preserve">Dabei findet eine Untergliederung in Kriterien mit Anlagenbezug, mit Stoffbezug und mit </w:t>
      </w:r>
      <w:r>
        <w:rPr>
          <w:rFonts w:ascii="Arial" w:hAnsi="Arial" w:cs="Arial"/>
          <w:color w:val="000000" w:themeColor="text1"/>
          <w:sz w:val="24"/>
          <w:szCs w:val="24"/>
        </w:rPr>
        <w:t>Bezug zur</w:t>
      </w:r>
      <w:r w:rsidR="00682587" w:rsidRPr="00284C67">
        <w:rPr>
          <w:rFonts w:ascii="Arial" w:hAnsi="Arial" w:cs="Arial"/>
          <w:color w:val="000000" w:themeColor="text1"/>
          <w:sz w:val="24"/>
          <w:szCs w:val="24"/>
        </w:rPr>
        <w:t xml:space="preserve"> örtliche</w:t>
      </w:r>
      <w:r>
        <w:rPr>
          <w:rFonts w:ascii="Arial" w:hAnsi="Arial" w:cs="Arial"/>
          <w:color w:val="000000" w:themeColor="text1"/>
          <w:sz w:val="24"/>
          <w:szCs w:val="24"/>
        </w:rPr>
        <w:t>n</w:t>
      </w:r>
      <w:r w:rsidR="00682587" w:rsidRPr="00284C67">
        <w:rPr>
          <w:rFonts w:ascii="Arial" w:hAnsi="Arial" w:cs="Arial"/>
          <w:color w:val="000000" w:themeColor="text1"/>
          <w:sz w:val="24"/>
          <w:szCs w:val="24"/>
        </w:rPr>
        <w:t xml:space="preserve"> Umgebung</w:t>
      </w:r>
      <w:r w:rsidRPr="00284C67">
        <w:rPr>
          <w:rFonts w:ascii="Arial" w:hAnsi="Arial" w:cs="Arial"/>
          <w:color w:val="000000" w:themeColor="text1"/>
          <w:sz w:val="24"/>
          <w:szCs w:val="24"/>
        </w:rPr>
        <w:t xml:space="preserve"> statt</w:t>
      </w:r>
      <w:r w:rsidR="00682587" w:rsidRPr="00284C67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</w:t>
      </w:r>
      <w:r w:rsidR="00EA7427">
        <w:rPr>
          <w:rFonts w:ascii="Arial" w:hAnsi="Arial" w:cs="Arial"/>
          <w:color w:val="000000" w:themeColor="text1"/>
          <w:sz w:val="24"/>
          <w:szCs w:val="24"/>
        </w:rPr>
        <w:t>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Anlage wird dabei für jedes Kriterium </w:t>
      </w:r>
      <w:r w:rsidR="001C40B1">
        <w:rPr>
          <w:rFonts w:ascii="Arial" w:hAnsi="Arial" w:cs="Arial"/>
          <w:color w:val="000000" w:themeColor="text1"/>
          <w:sz w:val="24"/>
          <w:szCs w:val="24"/>
        </w:rPr>
        <w:t xml:space="preserve">einzeln </w:t>
      </w:r>
      <w:r w:rsidR="00EA7427">
        <w:rPr>
          <w:rFonts w:ascii="Arial" w:hAnsi="Arial" w:cs="Arial"/>
          <w:color w:val="000000" w:themeColor="text1"/>
          <w:sz w:val="24"/>
          <w:szCs w:val="24"/>
        </w:rPr>
        <w:t xml:space="preserve">mit </w:t>
      </w:r>
      <w:r>
        <w:rPr>
          <w:rFonts w:ascii="Arial" w:hAnsi="Arial" w:cs="Arial"/>
          <w:color w:val="000000" w:themeColor="text1"/>
          <w:sz w:val="24"/>
          <w:szCs w:val="24"/>
        </w:rPr>
        <w:t>eine</w:t>
      </w:r>
      <w:r w:rsidR="00EA7427">
        <w:rPr>
          <w:rFonts w:ascii="Arial" w:hAnsi="Arial" w:cs="Arial"/>
          <w:color w:val="000000" w:themeColor="text1"/>
          <w:sz w:val="24"/>
          <w:szCs w:val="24"/>
        </w:rPr>
        <w:t>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bestimmte</w:t>
      </w:r>
      <w:r w:rsidR="00EA7427">
        <w:rPr>
          <w:rFonts w:ascii="Arial" w:hAnsi="Arial" w:cs="Arial"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Punktzahl </w:t>
      </w:r>
      <w:r w:rsidR="00EA7427">
        <w:rPr>
          <w:rFonts w:ascii="Arial" w:hAnsi="Arial" w:cs="Arial"/>
          <w:color w:val="000000" w:themeColor="text1"/>
          <w:sz w:val="24"/>
          <w:szCs w:val="24"/>
        </w:rPr>
        <w:t>bewertet (siehe sogleich)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, welche am Ende von Block A aufsummiert wird. </w:t>
      </w:r>
    </w:p>
    <w:p w14:paraId="7C5D2CA9" w14:textId="77777777" w:rsidR="00682587" w:rsidRPr="00284C67" w:rsidRDefault="00284C67" w:rsidP="00FD27F6">
      <w:pPr>
        <w:pStyle w:val="berschrift2"/>
      </w:pPr>
      <w:r w:rsidRPr="00284C67">
        <w:t xml:space="preserve">Anlagenbezogene </w:t>
      </w:r>
      <w:r w:rsidRPr="00FD27F6">
        <w:t>Kriterien</w:t>
      </w:r>
      <w:r w:rsidR="00682587" w:rsidRPr="00284C67">
        <w:t xml:space="preserve"> </w:t>
      </w:r>
    </w:p>
    <w:p w14:paraId="1D875CA3" w14:textId="77777777" w:rsidR="00CF40B5" w:rsidRDefault="0074598B" w:rsidP="00D55080">
      <w:pPr>
        <w:numPr>
          <w:ilvl w:val="12"/>
          <w:numId w:val="0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Bei den </w:t>
      </w:r>
      <w:r w:rsidR="00284C67">
        <w:rPr>
          <w:rFonts w:ascii="Arial" w:hAnsi="Arial" w:cs="Arial"/>
          <w:color w:val="000000" w:themeColor="text1"/>
          <w:sz w:val="24"/>
          <w:szCs w:val="24"/>
        </w:rPr>
        <w:t xml:space="preserve">anlagenbezogenen Kriterien wird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die Anlage </w:t>
      </w:r>
      <w:r w:rsidR="00284C67">
        <w:rPr>
          <w:rFonts w:ascii="Arial" w:hAnsi="Arial" w:cs="Arial"/>
          <w:color w:val="000000" w:themeColor="text1"/>
          <w:sz w:val="24"/>
          <w:szCs w:val="24"/>
        </w:rPr>
        <w:t xml:space="preserve">zunächst nach Größe klassifiziert. </w:t>
      </w:r>
    </w:p>
    <w:p w14:paraId="11687423" w14:textId="010CE923" w:rsidR="00B02368" w:rsidRPr="00B02368" w:rsidRDefault="00284C67" w:rsidP="00B02368">
      <w:pPr>
        <w:pStyle w:val="Listenabsatz"/>
        <w:numPr>
          <w:ilvl w:val="0"/>
          <w:numId w:val="1"/>
        </w:numPr>
        <w:spacing w:after="240"/>
        <w:ind w:left="714" w:hanging="357"/>
        <w:rPr>
          <w:rFonts w:ascii="Arial" w:hAnsi="Arial" w:cs="Arial"/>
          <w:color w:val="000000" w:themeColor="text1"/>
          <w:sz w:val="24"/>
          <w:szCs w:val="24"/>
        </w:rPr>
      </w:pPr>
      <w:r w:rsidRPr="00CF40B5">
        <w:rPr>
          <w:rFonts w:ascii="Arial" w:hAnsi="Arial" w:cs="Arial"/>
          <w:color w:val="000000" w:themeColor="text1"/>
          <w:sz w:val="24"/>
          <w:szCs w:val="24"/>
        </w:rPr>
        <w:t>Unte</w:t>
      </w:r>
      <w:r w:rsidR="008579E8" w:rsidRPr="00CF40B5">
        <w:rPr>
          <w:rFonts w:ascii="Arial" w:hAnsi="Arial" w:cs="Arial"/>
          <w:color w:val="000000" w:themeColor="text1"/>
          <w:sz w:val="24"/>
          <w:szCs w:val="24"/>
        </w:rPr>
        <w:t>r</w:t>
      </w:r>
      <w:r w:rsidRPr="00CF40B5">
        <w:rPr>
          <w:rFonts w:ascii="Arial" w:hAnsi="Arial" w:cs="Arial"/>
          <w:color w:val="000000" w:themeColor="text1"/>
          <w:sz w:val="24"/>
          <w:szCs w:val="24"/>
        </w:rPr>
        <w:t>fällt</w:t>
      </w:r>
      <w:r w:rsidR="008579E8" w:rsidRPr="00CF40B5">
        <w:rPr>
          <w:rFonts w:ascii="Arial" w:hAnsi="Arial" w:cs="Arial"/>
          <w:color w:val="000000" w:themeColor="text1"/>
          <w:sz w:val="24"/>
          <w:szCs w:val="24"/>
        </w:rPr>
        <w:t xml:space="preserve"> eine Anlage dem Anwendungsbereich des § 1 der 11. BImSchV, so wird hierfür ein Punkt vergeben, andernfalls kein Punkt. </w:t>
      </w:r>
    </w:p>
    <w:p w14:paraId="3EDBD9D9" w14:textId="77777777" w:rsidR="00CF40B5" w:rsidRDefault="008579E8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CF40B5">
        <w:rPr>
          <w:rFonts w:ascii="Arial" w:hAnsi="Arial" w:cs="Arial"/>
          <w:color w:val="000000" w:themeColor="text1"/>
          <w:sz w:val="24"/>
          <w:szCs w:val="24"/>
        </w:rPr>
        <w:t xml:space="preserve">Besteht für die Anlage eine Berichtspflicht gemäß der PRTR-VO, so wird auch hier ein Punkt vergeben, andernfalls null Punkte. </w:t>
      </w:r>
    </w:p>
    <w:p w14:paraId="13413EC3" w14:textId="77777777" w:rsidR="00CF40B5" w:rsidRDefault="005F4F71" w:rsidP="00D55080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CF40B5">
        <w:rPr>
          <w:rFonts w:ascii="Arial" w:hAnsi="Arial" w:cs="Arial"/>
          <w:color w:val="000000" w:themeColor="text1"/>
          <w:sz w:val="24"/>
          <w:szCs w:val="24"/>
        </w:rPr>
        <w:t xml:space="preserve">Weiter wird die Anlage nach ihrer Komplexität eingestuft. </w:t>
      </w:r>
    </w:p>
    <w:p w14:paraId="49118C04" w14:textId="77777777" w:rsidR="00FB0073" w:rsidRDefault="005F4F71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CF40B5">
        <w:rPr>
          <w:rFonts w:ascii="Arial" w:hAnsi="Arial" w:cs="Arial"/>
          <w:color w:val="000000" w:themeColor="text1"/>
          <w:sz w:val="24"/>
          <w:szCs w:val="24"/>
        </w:rPr>
        <w:t xml:space="preserve">Ist die Anlage nur ein Lager, so bekommt sie keinen Punkt. Läuft in der Anlage ein Prozess ab, so wird sie mit einem Punkt </w:t>
      </w:r>
      <w:r w:rsidR="002E748C" w:rsidRPr="00CF40B5">
        <w:rPr>
          <w:rFonts w:ascii="Arial" w:hAnsi="Arial" w:cs="Arial"/>
          <w:color w:val="000000" w:themeColor="text1"/>
          <w:sz w:val="24"/>
          <w:szCs w:val="24"/>
        </w:rPr>
        <w:t xml:space="preserve">bewertet </w:t>
      </w:r>
      <w:r w:rsidRPr="00CF40B5">
        <w:rPr>
          <w:rFonts w:ascii="Arial" w:hAnsi="Arial" w:cs="Arial"/>
          <w:color w:val="000000" w:themeColor="text1"/>
          <w:sz w:val="24"/>
          <w:szCs w:val="24"/>
        </w:rPr>
        <w:t xml:space="preserve">und sofern ein Prozess und ein Lager vorliegen, werden zwei Punkte vergeben. </w:t>
      </w:r>
    </w:p>
    <w:p w14:paraId="413552BD" w14:textId="3B7F543B" w:rsidR="00CF40B5" w:rsidRDefault="00CF40B5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FB0073">
        <w:rPr>
          <w:rFonts w:ascii="Arial" w:hAnsi="Arial" w:cs="Arial"/>
          <w:color w:val="000000" w:themeColor="text1"/>
          <w:sz w:val="24"/>
          <w:szCs w:val="24"/>
        </w:rPr>
        <w:t>Ist eine Abgas-/Abluftreinigung vorhanden, so wir</w:t>
      </w:r>
      <w:r w:rsidR="00F10A65">
        <w:rPr>
          <w:rFonts w:ascii="Arial" w:hAnsi="Arial" w:cs="Arial"/>
          <w:color w:val="000000" w:themeColor="text1"/>
          <w:sz w:val="24"/>
          <w:szCs w:val="24"/>
        </w:rPr>
        <w:t>d</w:t>
      </w:r>
      <w:r w:rsidRPr="00FB0073">
        <w:rPr>
          <w:rFonts w:ascii="Arial" w:hAnsi="Arial" w:cs="Arial"/>
          <w:color w:val="000000" w:themeColor="text1"/>
          <w:sz w:val="24"/>
          <w:szCs w:val="24"/>
        </w:rPr>
        <w:t xml:space="preserve"> ein Punkt vergeben, </w:t>
      </w:r>
      <w:r w:rsidR="00D941E7">
        <w:rPr>
          <w:rFonts w:ascii="Arial" w:hAnsi="Arial" w:cs="Arial"/>
          <w:color w:val="000000" w:themeColor="text1"/>
          <w:sz w:val="24"/>
          <w:szCs w:val="24"/>
        </w:rPr>
        <w:t>ist eine solche Reinigung nicht vorhanden, so gibt es keinen Punkt</w:t>
      </w:r>
      <w:r w:rsidRPr="00FB007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35B3FBF8" w14:textId="77777777" w:rsidR="00180420" w:rsidRDefault="00180420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Werden die Schadstoffe gemäß dem Bescheid oder Antrag kontinuierlich überwacht, so </w:t>
      </w:r>
      <w:r w:rsidR="00DF1F85">
        <w:rPr>
          <w:rFonts w:ascii="Arial" w:hAnsi="Arial" w:cs="Arial"/>
          <w:color w:val="000000" w:themeColor="text1"/>
          <w:sz w:val="24"/>
          <w:szCs w:val="24"/>
        </w:rPr>
        <w:t>wird mit einem Punkt bewertet, falls die Schadstoffüberwachung diskontinuierlich erfolgt, gibt es keinen Punkt</w:t>
      </w:r>
      <w:r w:rsidR="002B122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54D634BB" w14:textId="77777777" w:rsidR="002B1228" w:rsidRDefault="002B1228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Gehört zur Anlage eine genehmigungsbedürftige Nebeneinrichtung i. S. d. § 1 Abs. 4 der 4. BImSchV, so werden zwei Punkte vergeben; ist eine solche Einrichtung nicht vorhanden, so gibt es keinen Punkt. </w:t>
      </w:r>
    </w:p>
    <w:p w14:paraId="38B1C965" w14:textId="77777777" w:rsidR="008417BB" w:rsidRDefault="008E23B3" w:rsidP="009710A7">
      <w:pPr>
        <w:spacing w:after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Zudem werden bei einer Betriebsdauer über 300 Stunden pro Jahr für die Anlage zwei Punkte vergeben, darunter keine Punkte.</w:t>
      </w:r>
    </w:p>
    <w:p w14:paraId="544B7722" w14:textId="77777777" w:rsidR="000E07EE" w:rsidRDefault="000E07EE" w:rsidP="00FD27F6">
      <w:pPr>
        <w:pStyle w:val="berschrift2"/>
      </w:pPr>
      <w:r>
        <w:t xml:space="preserve">Stoffbezogene </w:t>
      </w:r>
      <w:r w:rsidRPr="00FD27F6">
        <w:t>Kriterien</w:t>
      </w:r>
    </w:p>
    <w:p w14:paraId="6E263DAC" w14:textId="77777777" w:rsidR="008E23B3" w:rsidRDefault="008417BB" w:rsidP="00D55080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Bei den stoffbezogenen Kriterien wird weiter geprüft, ob Anforderungen im Genehmigungsbescheid beziehungsweise </w:t>
      </w:r>
      <w:r w:rsidR="00B61921">
        <w:rPr>
          <w:rFonts w:ascii="Arial" w:hAnsi="Arial" w:cs="Arial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color w:val="000000" w:themeColor="text1"/>
          <w:sz w:val="24"/>
          <w:szCs w:val="24"/>
        </w:rPr>
        <w:t>antrag</w:t>
      </w:r>
      <w:r w:rsidR="00B61921">
        <w:rPr>
          <w:rFonts w:ascii="Arial" w:hAnsi="Arial" w:cs="Arial"/>
          <w:color w:val="000000" w:themeColor="text1"/>
          <w:sz w:val="24"/>
          <w:szCs w:val="24"/>
        </w:rPr>
        <w:t xml:space="preserve"> zu einzelnen Regelungsbereichen vorliegen. </w:t>
      </w:r>
      <w:r w:rsidR="005C098A">
        <w:rPr>
          <w:rFonts w:ascii="Arial" w:hAnsi="Arial" w:cs="Arial"/>
          <w:color w:val="000000" w:themeColor="text1"/>
          <w:sz w:val="24"/>
          <w:szCs w:val="24"/>
        </w:rPr>
        <w:t>In Bezug auf die TA Luft w</w:t>
      </w:r>
      <w:r w:rsidR="00C4716C">
        <w:rPr>
          <w:rFonts w:ascii="Arial" w:hAnsi="Arial" w:cs="Arial"/>
          <w:color w:val="000000" w:themeColor="text1"/>
          <w:sz w:val="24"/>
          <w:szCs w:val="24"/>
        </w:rPr>
        <w:t>ird</w:t>
      </w:r>
      <w:r w:rsidR="005C098A">
        <w:rPr>
          <w:rFonts w:ascii="Arial" w:hAnsi="Arial" w:cs="Arial"/>
          <w:color w:val="000000" w:themeColor="text1"/>
          <w:sz w:val="24"/>
          <w:szCs w:val="24"/>
        </w:rPr>
        <w:t xml:space="preserve"> dabei nach den folgenden Kriterien bewertet.</w:t>
      </w:r>
    </w:p>
    <w:p w14:paraId="4C18E605" w14:textId="77777777" w:rsidR="00C6170B" w:rsidRDefault="00BD3655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Gibt es Anforderungen nach Nr. 5.2.1 – 5.2.3 der TA Luft (s</w:t>
      </w:r>
      <w:r w:rsidR="005C098A">
        <w:rPr>
          <w:rFonts w:ascii="Arial" w:hAnsi="Arial" w:cs="Arial"/>
          <w:color w:val="000000" w:themeColor="text1"/>
          <w:sz w:val="24"/>
          <w:szCs w:val="24"/>
        </w:rPr>
        <w:t>taubförmige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Emissionen), so wird die Anlage mit zwei Punkten bewertet, im gegenteiligen Fall mit null Punkten.</w:t>
      </w:r>
    </w:p>
    <w:p w14:paraId="723D3571" w14:textId="77777777" w:rsidR="00C6170B" w:rsidRDefault="00C6170B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Liegen Anforderungen nach Nr. 5.2.4 – 5.2.6 der TA Luft (gasförmige organische und anorganische Stoffe)</w:t>
      </w:r>
      <w:r w:rsidR="00C72121">
        <w:rPr>
          <w:rFonts w:ascii="Arial" w:hAnsi="Arial" w:cs="Arial"/>
          <w:color w:val="000000" w:themeColor="text1"/>
          <w:sz w:val="24"/>
          <w:szCs w:val="24"/>
        </w:rPr>
        <w:t xml:space="preserve"> vor</w:t>
      </w:r>
      <w:r>
        <w:rPr>
          <w:rFonts w:ascii="Arial" w:hAnsi="Arial" w:cs="Arial"/>
          <w:color w:val="000000" w:themeColor="text1"/>
          <w:sz w:val="24"/>
          <w:szCs w:val="24"/>
        </w:rPr>
        <w:t>, so wird die Anlage mit zwei Punkten bewertet, andernfalls mit null Punkten.</w:t>
      </w:r>
    </w:p>
    <w:p w14:paraId="313811E9" w14:textId="77777777" w:rsidR="00CB4E3B" w:rsidRDefault="00C4716C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Im Fall von Anforderungen </w:t>
      </w:r>
      <w:r w:rsidR="00EB5250">
        <w:rPr>
          <w:rFonts w:ascii="Arial" w:hAnsi="Arial" w:cs="Arial"/>
          <w:color w:val="000000" w:themeColor="text1"/>
          <w:sz w:val="24"/>
          <w:szCs w:val="24"/>
        </w:rPr>
        <w:t xml:space="preserve">nach Nr. 5.2.7 der TA Luft (krebserzeugend, toxisch, etc.) werden zwei Punkte vergeben, sonst keine. </w:t>
      </w:r>
      <w:r w:rsidR="00C6170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4F13D3D0" w14:textId="77777777" w:rsidR="00CB4E3B" w:rsidRDefault="00CB4E3B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Gibt es Anforderungen nach Nr. 5.2.8 der TA Luft (geruchsintensiv), so wird die Anlage mit zwei Punkten bewertet, im gegenteiligen Fall mit null Punkten.</w:t>
      </w:r>
    </w:p>
    <w:p w14:paraId="46B1A6EF" w14:textId="77777777" w:rsidR="00CB4E3B" w:rsidRDefault="00CB4E3B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Liegen Anforderungen nach Nr. 5.2.9 der TA Luft (bodenbelastend)</w:t>
      </w:r>
      <w:r w:rsidR="00C72121">
        <w:rPr>
          <w:rFonts w:ascii="Arial" w:hAnsi="Arial" w:cs="Arial"/>
          <w:color w:val="000000" w:themeColor="text1"/>
          <w:sz w:val="24"/>
          <w:szCs w:val="24"/>
        </w:rPr>
        <w:t xml:space="preserve"> vor</w:t>
      </w:r>
      <w:r>
        <w:rPr>
          <w:rFonts w:ascii="Arial" w:hAnsi="Arial" w:cs="Arial"/>
          <w:color w:val="000000" w:themeColor="text1"/>
          <w:sz w:val="24"/>
          <w:szCs w:val="24"/>
        </w:rPr>
        <w:t>, so wird die Anlage mit zwei Punkten bewertet, andernfalls mit null Punkten.</w:t>
      </w:r>
    </w:p>
    <w:p w14:paraId="285DE688" w14:textId="77777777" w:rsidR="00B108DB" w:rsidRDefault="00B15B8F" w:rsidP="00D55080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Ist nach Nr. 3.2.1 der TA Lärm die Zusatzbelastung gegenüber dem Immissionsrichtwert um weniger als 3 dB(A) vermindert, so werden zwei Punkte vergeben, bei einer Verminderung um mehr als drei aber weniger als 6 dB(A) wird ein Punkt vergeben, und bei </w:t>
      </w:r>
      <w:r w:rsidR="00847A51">
        <w:rPr>
          <w:rFonts w:ascii="Arial" w:hAnsi="Arial" w:cs="Arial"/>
          <w:color w:val="000000" w:themeColor="text1"/>
          <w:sz w:val="24"/>
          <w:szCs w:val="24"/>
        </w:rPr>
        <w:t>einer Verminderung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um mehr als</w:t>
      </w:r>
      <w:r w:rsidR="00B108D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6 dB(A) gibt es keinen Punkt. </w:t>
      </w:r>
    </w:p>
    <w:p w14:paraId="3561C2BA" w14:textId="0D51355C" w:rsidR="00847A51" w:rsidRDefault="00B02368" w:rsidP="00D55080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Die</w:t>
      </w:r>
      <w:r w:rsidR="001A2854">
        <w:rPr>
          <w:rFonts w:ascii="Arial" w:hAnsi="Arial" w:cs="Arial"/>
          <w:color w:val="000000" w:themeColor="text1"/>
          <w:sz w:val="24"/>
          <w:szCs w:val="24"/>
        </w:rPr>
        <w:t xml:space="preserve"> Einstufung </w:t>
      </w:r>
      <w:r>
        <w:rPr>
          <w:rFonts w:ascii="Arial" w:hAnsi="Arial" w:cs="Arial"/>
          <w:color w:val="000000" w:themeColor="text1"/>
          <w:sz w:val="24"/>
          <w:szCs w:val="24"/>
        </w:rPr>
        <w:t>berücksichtigt weiter das</w:t>
      </w:r>
      <w:r w:rsidR="001A2854">
        <w:rPr>
          <w:rFonts w:ascii="Arial" w:hAnsi="Arial" w:cs="Arial"/>
          <w:color w:val="000000" w:themeColor="text1"/>
          <w:sz w:val="24"/>
          <w:szCs w:val="24"/>
        </w:rPr>
        <w:t xml:space="preserve"> Vorliegen etwaiger Anforderungen bezüglich Abfall. </w:t>
      </w:r>
    </w:p>
    <w:p w14:paraId="027832D0" w14:textId="77777777" w:rsidR="002D7F64" w:rsidRDefault="002D7F64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Liegt eine AVV Zuordnung gefährliche Abfälle vor, so werden zwei Punkte vergeben, liegen nicht-gefährliche Abfälle vor, so wird mit einem Punkt bewertet und nur im Fall keiner Abfälle gibt es null Punkte.</w:t>
      </w:r>
    </w:p>
    <w:p w14:paraId="584215DA" w14:textId="1739664A" w:rsidR="00C54738" w:rsidRPr="00872B22" w:rsidRDefault="00C54738" w:rsidP="00872B22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872B22">
        <w:rPr>
          <w:rFonts w:ascii="Arial" w:hAnsi="Arial" w:cs="Arial"/>
          <w:color w:val="000000" w:themeColor="text1"/>
          <w:sz w:val="24"/>
          <w:szCs w:val="24"/>
        </w:rPr>
        <w:t>Besteht eine Pflicht zum Betriebsbeauftragten Abfall nach (</w:t>
      </w:r>
      <w:proofErr w:type="spellStart"/>
      <w:r w:rsidRPr="00872B22">
        <w:rPr>
          <w:rFonts w:ascii="Arial" w:hAnsi="Arial" w:cs="Arial"/>
          <w:color w:val="000000" w:themeColor="text1"/>
          <w:sz w:val="24"/>
          <w:szCs w:val="24"/>
        </w:rPr>
        <w:t>AbfBeauftrV</w:t>
      </w:r>
      <w:proofErr w:type="spellEnd"/>
      <w:r w:rsidRPr="00872B22">
        <w:rPr>
          <w:rFonts w:ascii="Arial" w:hAnsi="Arial" w:cs="Arial"/>
          <w:color w:val="000000" w:themeColor="text1"/>
          <w:sz w:val="24"/>
          <w:szCs w:val="24"/>
        </w:rPr>
        <w:t>), so werden zwei Punkte vergeben, andernfalls null.</w:t>
      </w:r>
    </w:p>
    <w:p w14:paraId="7A4D2030" w14:textId="59642C55" w:rsidR="00014D31" w:rsidRDefault="00014D31" w:rsidP="009710A7">
      <w:pPr>
        <w:spacing w:after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Gibt es für die Anlage Anforderungen zum Prüf- und Maßnahmenwert der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BBodSchV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und wird der Maßnahmenwert überschritten, so werden zwei Punkte vergeben, wird der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Prüfwert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überschritten, so wird mi</w:t>
      </w:r>
      <w:r w:rsidR="00B02368">
        <w:rPr>
          <w:rFonts w:ascii="Arial" w:hAnsi="Arial" w:cs="Arial"/>
          <w:color w:val="000000" w:themeColor="text1"/>
          <w:sz w:val="24"/>
          <w:szCs w:val="24"/>
        </w:rPr>
        <w:t>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einem Punkt bewertet und nur falls der </w:t>
      </w:r>
      <w:proofErr w:type="spellStart"/>
      <w:r>
        <w:rPr>
          <w:rFonts w:ascii="Arial" w:hAnsi="Arial" w:cs="Arial"/>
          <w:color w:val="000000" w:themeColor="text1"/>
          <w:sz w:val="24"/>
          <w:szCs w:val="24"/>
        </w:rPr>
        <w:t>Prüfwert</w:t>
      </w:r>
      <w:proofErr w:type="spellEnd"/>
      <w:r>
        <w:rPr>
          <w:rFonts w:ascii="Arial" w:hAnsi="Arial" w:cs="Arial"/>
          <w:color w:val="000000" w:themeColor="text1"/>
          <w:sz w:val="24"/>
          <w:szCs w:val="24"/>
        </w:rPr>
        <w:t xml:space="preserve"> unterschritten wird, gibt es null Punkte. </w:t>
      </w:r>
    </w:p>
    <w:p w14:paraId="493143D7" w14:textId="77777777" w:rsidR="000E07EE" w:rsidRDefault="000E07EE" w:rsidP="00FD27F6">
      <w:pPr>
        <w:pStyle w:val="berschrift2"/>
      </w:pPr>
      <w:r>
        <w:t xml:space="preserve">Örtliche </w:t>
      </w:r>
      <w:r w:rsidRPr="00FD27F6">
        <w:t>Umgebung</w:t>
      </w:r>
    </w:p>
    <w:p w14:paraId="7F09D445" w14:textId="07A66FE1" w:rsidR="000E07EE" w:rsidRDefault="00B02368" w:rsidP="009710A7">
      <w:pPr>
        <w:spacing w:after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Auch die örtliche Umgebung/ die </w:t>
      </w:r>
      <w:r w:rsidR="000D64B0">
        <w:rPr>
          <w:rFonts w:ascii="Arial" w:hAnsi="Arial" w:cs="Arial"/>
          <w:color w:val="000000" w:themeColor="text1"/>
          <w:sz w:val="24"/>
          <w:szCs w:val="24"/>
        </w:rPr>
        <w:t xml:space="preserve">Raumbedeutsamkeit wird bewertet. Ist die Anlage nach § 1 Abs. 2 der 9. BImSchV UVP pflichtig, so werden sechs Punkte vergeben, im Falle einer allgemeinen VP werden vier Punkte vergeben, bei einer standortbezogenen VP zwei Punkte und bei keiner UVP-Pflicht null Punkte. </w:t>
      </w:r>
    </w:p>
    <w:p w14:paraId="37216503" w14:textId="77777777" w:rsidR="000E07EE" w:rsidRDefault="00FB6291" w:rsidP="00FD27F6">
      <w:pPr>
        <w:pStyle w:val="berschrift2"/>
      </w:pPr>
      <w:r w:rsidRPr="00FD27F6">
        <w:t>Zwischenergebnis</w:t>
      </w:r>
    </w:p>
    <w:p w14:paraId="172CFDEF" w14:textId="77777777" w:rsidR="007B64DC" w:rsidRDefault="007B64DC" w:rsidP="009710A7">
      <w:pPr>
        <w:spacing w:after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Die Punktzahlen, welche im Block A für die oben aufgeführten Kriterien ermittelt wurden, werden sodann aufsummiert, wobei eine maximale Punktzahl von 34 erreicht werden kann. </w:t>
      </w:r>
      <w:r w:rsidR="00E16D16">
        <w:rPr>
          <w:rFonts w:ascii="Arial" w:hAnsi="Arial" w:cs="Arial"/>
          <w:color w:val="000000" w:themeColor="text1"/>
          <w:sz w:val="24"/>
          <w:szCs w:val="24"/>
        </w:rPr>
        <w:t xml:space="preserve">Ist der ermittelte Summenwert größer oder gleich 18, so ergibt sich als Zwischenergebnis für Block A </w:t>
      </w:r>
      <w:r w:rsidR="00FB6291">
        <w:rPr>
          <w:rFonts w:ascii="Arial" w:hAnsi="Arial" w:cs="Arial"/>
          <w:color w:val="000000" w:themeColor="text1"/>
          <w:sz w:val="24"/>
          <w:szCs w:val="24"/>
        </w:rPr>
        <w:t xml:space="preserve">zunächst </w:t>
      </w:r>
      <w:r w:rsidR="00E16D16">
        <w:rPr>
          <w:rFonts w:ascii="Arial" w:hAnsi="Arial" w:cs="Arial"/>
          <w:color w:val="000000" w:themeColor="text1"/>
          <w:sz w:val="24"/>
          <w:szCs w:val="24"/>
        </w:rPr>
        <w:t>ein Turnus von einem Jahr. Falls der Summenwert kleiner oder gleich 17 ist, so ergibt sich als Zwischenergebnis für Block A ein Turnus von drei Jahren.</w:t>
      </w:r>
    </w:p>
    <w:p w14:paraId="5A32A2BD" w14:textId="77777777" w:rsidR="00FB6291" w:rsidRDefault="00FB6291" w:rsidP="00FD27F6">
      <w:pPr>
        <w:pStyle w:val="berschrift1"/>
      </w:pPr>
      <w:r w:rsidRPr="00FD27F6">
        <w:t>Block</w:t>
      </w:r>
      <w:r>
        <w:t xml:space="preserve"> B</w:t>
      </w:r>
    </w:p>
    <w:p w14:paraId="04609638" w14:textId="77777777" w:rsidR="00872B22" w:rsidRDefault="00FB6291" w:rsidP="00D55080">
      <w:pPr>
        <w:numPr>
          <w:ilvl w:val="12"/>
          <w:numId w:val="0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I</w:t>
      </w:r>
      <w:r w:rsidR="00E9074E" w:rsidRPr="00284C67">
        <w:rPr>
          <w:rFonts w:ascii="Arial" w:hAnsi="Arial" w:cs="Arial"/>
          <w:color w:val="000000" w:themeColor="text1"/>
          <w:sz w:val="24"/>
          <w:szCs w:val="24"/>
        </w:rPr>
        <w:t xml:space="preserve">m Block B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wird </w:t>
      </w:r>
      <w:r w:rsidR="00E9074E" w:rsidRPr="00284C67">
        <w:rPr>
          <w:rFonts w:ascii="Arial" w:hAnsi="Arial" w:cs="Arial"/>
          <w:color w:val="000000" w:themeColor="text1"/>
          <w:sz w:val="24"/>
          <w:szCs w:val="24"/>
        </w:rPr>
        <w:t xml:space="preserve">durch </w:t>
      </w:r>
      <w:r w:rsidR="00DC083E">
        <w:rPr>
          <w:rFonts w:ascii="Arial" w:hAnsi="Arial" w:cs="Arial"/>
          <w:color w:val="000000" w:themeColor="text1"/>
          <w:sz w:val="24"/>
          <w:szCs w:val="24"/>
        </w:rPr>
        <w:t xml:space="preserve">Hinzuziehen von </w:t>
      </w:r>
      <w:r>
        <w:rPr>
          <w:rFonts w:ascii="Arial" w:hAnsi="Arial" w:cs="Arial"/>
          <w:color w:val="000000" w:themeColor="text1"/>
          <w:sz w:val="24"/>
          <w:szCs w:val="24"/>
        </w:rPr>
        <w:t>Betreiberkriterien das im Block</w:t>
      </w:r>
      <w:r w:rsidR="00E9074E" w:rsidRPr="00284C67">
        <w:rPr>
          <w:rFonts w:ascii="Arial" w:hAnsi="Arial" w:cs="Arial"/>
          <w:color w:val="000000" w:themeColor="text1"/>
          <w:sz w:val="24"/>
          <w:szCs w:val="24"/>
        </w:rPr>
        <w:t xml:space="preserve"> A ermittelte Zwischenergebnis angepasst.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Berücksichtigt werden dabei sowohl bisherige Ergebnisse als auch freiwillige Maßnahmen. </w:t>
      </w:r>
      <w:r w:rsidR="00D52021">
        <w:rPr>
          <w:rFonts w:ascii="Arial" w:hAnsi="Arial" w:cs="Arial"/>
          <w:color w:val="000000" w:themeColor="text1"/>
          <w:sz w:val="24"/>
          <w:szCs w:val="24"/>
        </w:rPr>
        <w:t xml:space="preserve">Die Wertung erfolgt hierbei in Jahren, wobei der </w:t>
      </w:r>
      <w:r w:rsidR="00872B22">
        <w:rPr>
          <w:rFonts w:ascii="Arial" w:hAnsi="Arial" w:cs="Arial"/>
          <w:color w:val="000000" w:themeColor="text1"/>
          <w:sz w:val="24"/>
          <w:szCs w:val="24"/>
        </w:rPr>
        <w:t>genaue Gang</w:t>
      </w:r>
      <w:r w:rsidR="00D52021">
        <w:rPr>
          <w:rFonts w:ascii="Arial" w:hAnsi="Arial" w:cs="Arial"/>
          <w:color w:val="000000" w:themeColor="text1"/>
          <w:sz w:val="24"/>
          <w:szCs w:val="24"/>
        </w:rPr>
        <w:t xml:space="preserve"> der Anpassung am Ende dieses Abschnitts erläutert wird.</w:t>
      </w:r>
    </w:p>
    <w:p w14:paraId="639A213F" w14:textId="0CCA1AFC" w:rsidR="00FB6291" w:rsidRDefault="00486FD8" w:rsidP="00D55080">
      <w:pPr>
        <w:numPr>
          <w:ilvl w:val="12"/>
          <w:numId w:val="0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Liegen bisher schon negative Erfahrungen vor, so führen diese zu einem Abzug</w:t>
      </w:r>
      <w:r w:rsidR="0079422A">
        <w:rPr>
          <w:rFonts w:ascii="Arial" w:hAnsi="Arial" w:cs="Arial"/>
          <w:color w:val="000000" w:themeColor="text1"/>
          <w:sz w:val="24"/>
          <w:szCs w:val="24"/>
        </w:rPr>
        <w:t xml:space="preserve">, d. h. einer </w:t>
      </w:r>
      <w:r w:rsidR="00772CB3">
        <w:rPr>
          <w:rFonts w:ascii="Arial" w:hAnsi="Arial" w:cs="Arial"/>
          <w:color w:val="000000" w:themeColor="text1"/>
          <w:sz w:val="24"/>
          <w:szCs w:val="24"/>
        </w:rPr>
        <w:t xml:space="preserve">Verkürzung </w:t>
      </w:r>
      <w:r w:rsidR="0079422A">
        <w:rPr>
          <w:rFonts w:ascii="Arial" w:hAnsi="Arial" w:cs="Arial"/>
          <w:color w:val="000000" w:themeColor="text1"/>
          <w:sz w:val="24"/>
          <w:szCs w:val="24"/>
        </w:rPr>
        <w:t>des Überwachungsturnus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2AFA6001" w14:textId="3BB154D8" w:rsidR="00DC083E" w:rsidRDefault="00DC083E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DC083E">
        <w:rPr>
          <w:rFonts w:ascii="Arial" w:hAnsi="Arial" w:cs="Arial"/>
          <w:color w:val="000000" w:themeColor="text1"/>
          <w:sz w:val="24"/>
          <w:szCs w:val="24"/>
        </w:rPr>
        <w:t>Wurden bisher Verstöße gegen Genehmigungsauflagen festgestellt (</w:t>
      </w:r>
      <w:r w:rsidR="007734BF">
        <w:rPr>
          <w:rFonts w:ascii="Arial" w:hAnsi="Arial" w:cs="Arial"/>
          <w:color w:val="000000" w:themeColor="text1"/>
          <w:sz w:val="24"/>
          <w:szCs w:val="24"/>
        </w:rPr>
        <w:t>r</w:t>
      </w:r>
      <w:r w:rsidRPr="00DC083E">
        <w:rPr>
          <w:rFonts w:ascii="Arial" w:hAnsi="Arial" w:cs="Arial"/>
          <w:color w:val="000000" w:themeColor="text1"/>
          <w:sz w:val="24"/>
          <w:szCs w:val="24"/>
        </w:rPr>
        <w:t xml:space="preserve">elevante Feststellungen und resultierende Maßnahmen) und waren diese dauerhaft, so werden </w:t>
      </w:r>
      <w:r w:rsidR="007734BF">
        <w:rPr>
          <w:rFonts w:ascii="Arial" w:hAnsi="Arial" w:cs="Arial"/>
          <w:color w:val="000000" w:themeColor="text1"/>
          <w:sz w:val="24"/>
          <w:szCs w:val="24"/>
        </w:rPr>
        <w:t>sie</w:t>
      </w:r>
      <w:r w:rsidRPr="00DC083E">
        <w:rPr>
          <w:rFonts w:ascii="Arial" w:hAnsi="Arial" w:cs="Arial"/>
          <w:color w:val="000000" w:themeColor="text1"/>
          <w:sz w:val="24"/>
          <w:szCs w:val="24"/>
        </w:rPr>
        <w:t xml:space="preserve"> mit </w:t>
      </w:r>
      <w:r w:rsidR="00E6680F">
        <w:rPr>
          <w:rFonts w:ascii="Arial" w:hAnsi="Arial" w:cs="Arial"/>
          <w:color w:val="000000" w:themeColor="text1"/>
          <w:sz w:val="24"/>
          <w:szCs w:val="24"/>
        </w:rPr>
        <w:t>minus zwei</w:t>
      </w:r>
      <w:r w:rsidR="00872B22">
        <w:rPr>
          <w:rFonts w:ascii="Arial" w:hAnsi="Arial" w:cs="Arial"/>
          <w:color w:val="000000" w:themeColor="text1"/>
          <w:sz w:val="24"/>
          <w:szCs w:val="24"/>
        </w:rPr>
        <w:t xml:space="preserve"> Jahren gewertet, bei nicht </w:t>
      </w:r>
      <w:r w:rsidRPr="00DC083E">
        <w:rPr>
          <w:rFonts w:ascii="Arial" w:hAnsi="Arial" w:cs="Arial"/>
          <w:color w:val="000000" w:themeColor="text1"/>
          <w:sz w:val="24"/>
          <w:szCs w:val="24"/>
        </w:rPr>
        <w:t xml:space="preserve">dauerhaften Verstößen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mit </w:t>
      </w:r>
      <w:r w:rsidR="00E6680F">
        <w:rPr>
          <w:rFonts w:ascii="Arial" w:hAnsi="Arial" w:cs="Arial"/>
          <w:color w:val="000000" w:themeColor="text1"/>
          <w:sz w:val="24"/>
          <w:szCs w:val="24"/>
        </w:rPr>
        <w:t>minus einem</w:t>
      </w:r>
      <w:r w:rsidRPr="00DC083E">
        <w:rPr>
          <w:rFonts w:ascii="Arial" w:hAnsi="Arial" w:cs="Arial"/>
          <w:color w:val="000000" w:themeColor="text1"/>
          <w:sz w:val="24"/>
          <w:szCs w:val="24"/>
        </w:rPr>
        <w:t xml:space="preserve"> Jahr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und nur wenn keine Verstöße festges</w:t>
      </w:r>
      <w:r w:rsidR="007734BF">
        <w:rPr>
          <w:rFonts w:ascii="Arial" w:hAnsi="Arial" w:cs="Arial"/>
          <w:color w:val="000000" w:themeColor="text1"/>
          <w:sz w:val="24"/>
          <w:szCs w:val="24"/>
        </w:rPr>
        <w:t xml:space="preserve">tellt wurden, wird mit </w:t>
      </w:r>
      <w:r w:rsidR="00E6680F">
        <w:rPr>
          <w:rFonts w:ascii="Arial" w:hAnsi="Arial" w:cs="Arial"/>
          <w:color w:val="000000" w:themeColor="text1"/>
          <w:sz w:val="24"/>
          <w:szCs w:val="24"/>
        </w:rPr>
        <w:t>null</w:t>
      </w:r>
      <w:r w:rsidR="007734BF">
        <w:rPr>
          <w:rFonts w:ascii="Arial" w:hAnsi="Arial" w:cs="Arial"/>
          <w:color w:val="000000" w:themeColor="text1"/>
          <w:sz w:val="24"/>
          <w:szCs w:val="24"/>
        </w:rPr>
        <w:t xml:space="preserve"> Jahren</w:t>
      </w:r>
      <w:r w:rsidR="00E6680F">
        <w:rPr>
          <w:rFonts w:ascii="Arial" w:hAnsi="Arial" w:cs="Arial"/>
          <w:color w:val="000000" w:themeColor="text1"/>
          <w:sz w:val="24"/>
          <w:szCs w:val="24"/>
        </w:rPr>
        <w:t xml:space="preserve"> bewertet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Pr="00DC08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6241D257" w14:textId="77777777" w:rsidR="007734BF" w:rsidRPr="00DC083E" w:rsidRDefault="00787F97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Gab es anlassbezogene Inspektionen mit berechtigter Beschwerde bisher mehrfach, so </w:t>
      </w:r>
      <w:r w:rsidRPr="00DC083E">
        <w:rPr>
          <w:rFonts w:ascii="Arial" w:hAnsi="Arial" w:cs="Arial"/>
          <w:color w:val="000000" w:themeColor="text1"/>
          <w:sz w:val="24"/>
          <w:szCs w:val="24"/>
        </w:rPr>
        <w:t xml:space="preserve">werden </w:t>
      </w:r>
      <w:r>
        <w:rPr>
          <w:rFonts w:ascii="Arial" w:hAnsi="Arial" w:cs="Arial"/>
          <w:color w:val="000000" w:themeColor="text1"/>
          <w:sz w:val="24"/>
          <w:szCs w:val="24"/>
        </w:rPr>
        <w:t>diese</w:t>
      </w:r>
      <w:r w:rsidRPr="00DC083E">
        <w:rPr>
          <w:rFonts w:ascii="Arial" w:hAnsi="Arial" w:cs="Arial"/>
          <w:color w:val="000000" w:themeColor="text1"/>
          <w:sz w:val="24"/>
          <w:szCs w:val="24"/>
        </w:rPr>
        <w:t xml:space="preserve"> mit </w:t>
      </w:r>
      <w:r w:rsidR="00E6680F">
        <w:rPr>
          <w:rFonts w:ascii="Arial" w:hAnsi="Arial" w:cs="Arial"/>
          <w:color w:val="000000" w:themeColor="text1"/>
          <w:sz w:val="24"/>
          <w:szCs w:val="24"/>
        </w:rPr>
        <w:t>minus zwei</w:t>
      </w:r>
      <w:r w:rsidRPr="00DC083E">
        <w:rPr>
          <w:rFonts w:ascii="Arial" w:hAnsi="Arial" w:cs="Arial"/>
          <w:color w:val="000000" w:themeColor="text1"/>
          <w:sz w:val="24"/>
          <w:szCs w:val="24"/>
        </w:rPr>
        <w:t xml:space="preserve"> Jahren gewertet, bei nicht-</w:t>
      </w:r>
      <w:r>
        <w:rPr>
          <w:rFonts w:ascii="Arial" w:hAnsi="Arial" w:cs="Arial"/>
          <w:color w:val="000000" w:themeColor="text1"/>
          <w:sz w:val="24"/>
          <w:szCs w:val="24"/>
        </w:rPr>
        <w:t>mehrfachen</w:t>
      </w:r>
      <w:r w:rsidRPr="00DC08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Inspektionen mit </w:t>
      </w:r>
      <w:r w:rsidR="00E6680F">
        <w:rPr>
          <w:rFonts w:ascii="Arial" w:hAnsi="Arial" w:cs="Arial"/>
          <w:color w:val="000000" w:themeColor="text1"/>
          <w:sz w:val="24"/>
          <w:szCs w:val="24"/>
        </w:rPr>
        <w:t>minus einem</w:t>
      </w:r>
      <w:r w:rsidRPr="00DC083E">
        <w:rPr>
          <w:rFonts w:ascii="Arial" w:hAnsi="Arial" w:cs="Arial"/>
          <w:color w:val="000000" w:themeColor="text1"/>
          <w:sz w:val="24"/>
          <w:szCs w:val="24"/>
        </w:rPr>
        <w:t xml:space="preserve"> Jahr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und nur wenn keine anlassbezogenen Inspektionen mit berechtigter Beschwerde durchgeführt wurden, wird mit </w:t>
      </w:r>
      <w:r w:rsidR="00E6680F">
        <w:rPr>
          <w:rFonts w:ascii="Arial" w:hAnsi="Arial" w:cs="Arial"/>
          <w:color w:val="000000" w:themeColor="text1"/>
          <w:sz w:val="24"/>
          <w:szCs w:val="24"/>
        </w:rPr>
        <w:t>null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Jahren bewertet. </w:t>
      </w:r>
      <w:r w:rsidRPr="00DC083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734B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14:paraId="122F347E" w14:textId="77777777" w:rsidR="00FB6291" w:rsidRDefault="00ED01B8" w:rsidP="00D55080">
      <w:pPr>
        <w:numPr>
          <w:ilvl w:val="12"/>
          <w:numId w:val="0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Auch freiwillige Maßnahmen des Betreibers werden berücksichtigt. </w:t>
      </w:r>
    </w:p>
    <w:p w14:paraId="37FD73EE" w14:textId="77777777" w:rsidR="00E6680F" w:rsidRDefault="00E6680F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Nimmt der Betreiber an EMAS oder ISO 14001 ff (plus) teil, so wird dies mit einem Jahr bewertet; falls nicht, gibt es kein Jahr.</w:t>
      </w:r>
    </w:p>
    <w:p w14:paraId="1155471B" w14:textId="654FF7AC" w:rsidR="004C05C5" w:rsidRDefault="00E6680F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Wurde ein sicheres Betreiberverhalten (Ü</w:t>
      </w:r>
      <w:r w:rsidR="0079422A">
        <w:rPr>
          <w:rFonts w:ascii="Arial" w:hAnsi="Arial" w:cs="Arial"/>
          <w:color w:val="000000" w:themeColor="text1"/>
          <w:sz w:val="24"/>
          <w:szCs w:val="24"/>
        </w:rPr>
        <w:t>berwachungsübereinkunft</w:t>
      </w:r>
      <w:r>
        <w:rPr>
          <w:rFonts w:ascii="Arial" w:hAnsi="Arial" w:cs="Arial"/>
          <w:color w:val="000000" w:themeColor="text1"/>
          <w:sz w:val="24"/>
          <w:szCs w:val="24"/>
        </w:rPr>
        <w:t>) festgestellt und wurden alle Kriterien bei den bisherigen Erfahrungen (siehe oben) mit null Jahre</w:t>
      </w:r>
      <w:r w:rsidR="00872B22">
        <w:rPr>
          <w:rFonts w:ascii="Arial" w:hAnsi="Arial" w:cs="Arial"/>
          <w:color w:val="000000" w:themeColor="text1"/>
          <w:sz w:val="24"/>
          <w:szCs w:val="24"/>
        </w:rPr>
        <w:t>n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gewertet, so wird ein Jahr hinzugefügt, andernfalls kein Jahr.  </w:t>
      </w:r>
    </w:p>
    <w:p w14:paraId="0F95A1E4" w14:textId="1E061046" w:rsidR="004C05C5" w:rsidRDefault="004C05C5" w:rsidP="009710A7">
      <w:pPr>
        <w:spacing w:after="36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Auch die in Block B ermittelten Werte werden aufsummiert. Hierbei ist eine Bandbreit von minus vier bis (plus) zwei Jahren möglich. Der erhaltene Summenwert </w:t>
      </w:r>
      <w:r w:rsidR="00872B22">
        <w:rPr>
          <w:rFonts w:ascii="Arial" w:hAnsi="Arial" w:cs="Arial"/>
          <w:color w:val="000000" w:themeColor="text1"/>
          <w:sz w:val="24"/>
          <w:szCs w:val="24"/>
        </w:rPr>
        <w:t>bildet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das Zwischenergebnis von Block B da. </w:t>
      </w:r>
    </w:p>
    <w:p w14:paraId="437150C0" w14:textId="77777777" w:rsidR="000461E1" w:rsidRPr="004C05C5" w:rsidRDefault="000461E1" w:rsidP="00FD27F6">
      <w:pPr>
        <w:pStyle w:val="berschrift2"/>
      </w:pPr>
      <w:r>
        <w:t>Ergebnisberechnung</w:t>
      </w:r>
    </w:p>
    <w:p w14:paraId="6D33A6E5" w14:textId="1956D332" w:rsidR="001504C5" w:rsidRDefault="00B00F75" w:rsidP="00D55080">
      <w:p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Sodann wird </w:t>
      </w:r>
      <w:r w:rsidR="00872B22">
        <w:rPr>
          <w:rFonts w:ascii="Arial" w:hAnsi="Arial" w:cs="Arial"/>
          <w:color w:val="000000" w:themeColor="text1"/>
          <w:sz w:val="24"/>
          <w:szCs w:val="24"/>
        </w:rPr>
        <w:t xml:space="preserve">das Zwischenergebnis A + B als </w:t>
      </w:r>
      <w:r>
        <w:rPr>
          <w:rFonts w:ascii="Arial" w:hAnsi="Arial" w:cs="Arial"/>
          <w:color w:val="000000" w:themeColor="text1"/>
          <w:sz w:val="24"/>
          <w:szCs w:val="24"/>
        </w:rPr>
        <w:t>die Summe der Zwischenergebnisse von Block A und Block B gebildet</w:t>
      </w:r>
      <w:r w:rsidR="00872B22">
        <w:rPr>
          <w:rFonts w:ascii="Arial" w:hAnsi="Arial" w:cs="Arial"/>
          <w:color w:val="000000" w:themeColor="text1"/>
          <w:sz w:val="24"/>
          <w:szCs w:val="24"/>
        </w:rPr>
        <w:t>. Dabei ist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zunächst eine Bandbreite von minus vier bis plus fünf Jahren möglich. </w:t>
      </w:r>
    </w:p>
    <w:p w14:paraId="71969487" w14:textId="176B472F" w:rsidR="00B00F75" w:rsidRDefault="001504C5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 w:rsidRPr="001504C5">
        <w:rPr>
          <w:rFonts w:ascii="Arial" w:hAnsi="Arial" w:cs="Arial"/>
          <w:color w:val="000000" w:themeColor="text1"/>
          <w:sz w:val="24"/>
          <w:szCs w:val="24"/>
        </w:rPr>
        <w:t xml:space="preserve">Bei einem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Zwischenergebnis A + B von minus vier bis plus einem Jahr </w:t>
      </w:r>
      <w:r w:rsidR="00413686">
        <w:rPr>
          <w:rFonts w:ascii="Arial" w:hAnsi="Arial" w:cs="Arial"/>
          <w:color w:val="000000" w:themeColor="text1"/>
          <w:sz w:val="24"/>
          <w:szCs w:val="24"/>
        </w:rPr>
        <w:t>ergibt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13686">
        <w:rPr>
          <w:rFonts w:ascii="Arial" w:hAnsi="Arial" w:cs="Arial"/>
          <w:color w:val="000000" w:themeColor="text1"/>
          <w:sz w:val="24"/>
          <w:szCs w:val="24"/>
        </w:rPr>
        <w:t xml:space="preserve">sich </w:t>
      </w:r>
      <w:r>
        <w:rPr>
          <w:rFonts w:ascii="Arial" w:hAnsi="Arial" w:cs="Arial"/>
          <w:color w:val="000000" w:themeColor="text1"/>
          <w:sz w:val="24"/>
          <w:szCs w:val="24"/>
        </w:rPr>
        <w:t>ein T</w:t>
      </w:r>
      <w:r w:rsidR="00BD15E9">
        <w:rPr>
          <w:rFonts w:ascii="Arial" w:hAnsi="Arial" w:cs="Arial"/>
          <w:color w:val="000000" w:themeColor="text1"/>
          <w:sz w:val="24"/>
          <w:szCs w:val="24"/>
        </w:rPr>
        <w:t>urnus von einem Jahr</w:t>
      </w:r>
    </w:p>
    <w:p w14:paraId="38CCEA44" w14:textId="14061BE4" w:rsidR="0016333B" w:rsidRDefault="00BD15E9" w:rsidP="00D55080">
      <w:pPr>
        <w:pStyle w:val="Listenabsatz"/>
        <w:numPr>
          <w:ilvl w:val="0"/>
          <w:numId w:val="1"/>
        </w:numPr>
        <w:spacing w:after="24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="0016333B" w:rsidRPr="001504C5">
        <w:rPr>
          <w:rFonts w:ascii="Arial" w:hAnsi="Arial" w:cs="Arial"/>
          <w:color w:val="000000" w:themeColor="text1"/>
          <w:sz w:val="24"/>
          <w:szCs w:val="24"/>
        </w:rPr>
        <w:t xml:space="preserve">ei einem </w:t>
      </w:r>
      <w:r w:rsidR="0016333B">
        <w:rPr>
          <w:rFonts w:ascii="Arial" w:hAnsi="Arial" w:cs="Arial"/>
          <w:color w:val="000000" w:themeColor="text1"/>
          <w:sz w:val="24"/>
          <w:szCs w:val="24"/>
        </w:rPr>
        <w:t xml:space="preserve">Zwischenergebnis A + B von plus zwei Jahren </w:t>
      </w:r>
      <w:r w:rsidR="00413686">
        <w:rPr>
          <w:rFonts w:ascii="Arial" w:hAnsi="Arial" w:cs="Arial"/>
          <w:color w:val="000000" w:themeColor="text1"/>
          <w:sz w:val="24"/>
          <w:szCs w:val="24"/>
        </w:rPr>
        <w:t xml:space="preserve">ergibt sich </w:t>
      </w:r>
      <w:r>
        <w:rPr>
          <w:rFonts w:ascii="Arial" w:hAnsi="Arial" w:cs="Arial"/>
          <w:color w:val="000000" w:themeColor="text1"/>
          <w:sz w:val="24"/>
          <w:szCs w:val="24"/>
        </w:rPr>
        <w:t>ein Turnus von zwei Jahren und</w:t>
      </w:r>
    </w:p>
    <w:p w14:paraId="284409D9" w14:textId="34FACEA1" w:rsidR="0016333B" w:rsidRDefault="00BD15E9" w:rsidP="009710A7">
      <w:pPr>
        <w:pStyle w:val="Listenabsatz"/>
        <w:numPr>
          <w:ilvl w:val="0"/>
          <w:numId w:val="1"/>
        </w:numPr>
        <w:spacing w:after="360"/>
        <w:ind w:left="714" w:hanging="357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</w:t>
      </w:r>
      <w:r w:rsidR="0016333B" w:rsidRPr="001504C5">
        <w:rPr>
          <w:rFonts w:ascii="Arial" w:hAnsi="Arial" w:cs="Arial"/>
          <w:color w:val="000000" w:themeColor="text1"/>
          <w:sz w:val="24"/>
          <w:szCs w:val="24"/>
        </w:rPr>
        <w:t xml:space="preserve">ei einem </w:t>
      </w:r>
      <w:r w:rsidR="0016333B">
        <w:rPr>
          <w:rFonts w:ascii="Arial" w:hAnsi="Arial" w:cs="Arial"/>
          <w:color w:val="000000" w:themeColor="text1"/>
          <w:sz w:val="24"/>
          <w:szCs w:val="24"/>
        </w:rPr>
        <w:t xml:space="preserve">Zwischenergebnis A + B von drei bis fünf Jahren </w:t>
      </w:r>
      <w:r w:rsidR="00413686">
        <w:rPr>
          <w:rFonts w:ascii="Arial" w:hAnsi="Arial" w:cs="Arial"/>
          <w:color w:val="000000" w:themeColor="text1"/>
          <w:sz w:val="24"/>
          <w:szCs w:val="24"/>
        </w:rPr>
        <w:t>ergibt sich</w:t>
      </w:r>
      <w:r w:rsidR="0016333B">
        <w:rPr>
          <w:rFonts w:ascii="Arial" w:hAnsi="Arial" w:cs="Arial"/>
          <w:color w:val="000000" w:themeColor="text1"/>
          <w:sz w:val="24"/>
          <w:szCs w:val="24"/>
        </w:rPr>
        <w:t xml:space="preserve"> ein Turnus von drei Jahren.</w:t>
      </w:r>
    </w:p>
    <w:p w14:paraId="415320F2" w14:textId="77777777" w:rsidR="00E1367B" w:rsidRDefault="00E1367B" w:rsidP="00FD27F6">
      <w:pPr>
        <w:pStyle w:val="berschrift1"/>
      </w:pPr>
      <w:r w:rsidRPr="00FD27F6">
        <w:t>Endergebnis</w:t>
      </w:r>
      <w:r>
        <w:t xml:space="preserve"> C</w:t>
      </w:r>
    </w:p>
    <w:p w14:paraId="2D23CB04" w14:textId="77777777" w:rsidR="00E1367B" w:rsidRPr="00E1367B" w:rsidRDefault="00413686" w:rsidP="00D55080">
      <w:pPr>
        <w:spacing w:after="240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Der </w:t>
      </w:r>
      <w:r w:rsidR="00425759">
        <w:rPr>
          <w:rFonts w:ascii="Arial" w:hAnsi="Arial" w:cs="Arial"/>
          <w:color w:val="000000" w:themeColor="text1"/>
          <w:sz w:val="24"/>
          <w:szCs w:val="24"/>
        </w:rPr>
        <w:t xml:space="preserve">auf diese Weise ermittelte risikobasierte Überwachungsturnus wird als Turnus festgelegt. </w:t>
      </w:r>
    </w:p>
    <w:sectPr w:rsidR="00E1367B" w:rsidRPr="00E13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1FBFA4" w14:textId="77777777" w:rsidR="00314402" w:rsidRDefault="00314402" w:rsidP="005A1811">
      <w:r>
        <w:separator/>
      </w:r>
    </w:p>
  </w:endnote>
  <w:endnote w:type="continuationSeparator" w:id="0">
    <w:p w14:paraId="3D1E272E" w14:textId="77777777" w:rsidR="00314402" w:rsidRDefault="00314402" w:rsidP="005A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CDB2F" w14:textId="77777777" w:rsidR="00314402" w:rsidRDefault="0031440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DA6548" w14:textId="77777777" w:rsidR="00314402" w:rsidRDefault="0031440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4FF88" w14:textId="77777777" w:rsidR="00314402" w:rsidRDefault="0031440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63966E" w14:textId="77777777" w:rsidR="00314402" w:rsidRDefault="00314402" w:rsidP="005A1811">
      <w:r>
        <w:separator/>
      </w:r>
    </w:p>
  </w:footnote>
  <w:footnote w:type="continuationSeparator" w:id="0">
    <w:p w14:paraId="173F25C7" w14:textId="77777777" w:rsidR="00314402" w:rsidRDefault="00314402" w:rsidP="005A1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0AF6" w14:textId="77777777" w:rsidR="00314402" w:rsidRDefault="0031440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347A2" w14:textId="77777777" w:rsidR="00314402" w:rsidRDefault="0031440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F3F610" w14:textId="77777777" w:rsidR="00314402" w:rsidRDefault="0031440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541A9"/>
    <w:multiLevelType w:val="hybridMultilevel"/>
    <w:tmpl w:val="00F03D9A"/>
    <w:lvl w:ilvl="0" w:tplc="A27845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74E"/>
    <w:rsid w:val="00014D31"/>
    <w:rsid w:val="00023CC9"/>
    <w:rsid w:val="000461E1"/>
    <w:rsid w:val="00057D1E"/>
    <w:rsid w:val="000D64B0"/>
    <w:rsid w:val="000E07EE"/>
    <w:rsid w:val="001479D4"/>
    <w:rsid w:val="001504C5"/>
    <w:rsid w:val="0016333B"/>
    <w:rsid w:val="00180420"/>
    <w:rsid w:val="00192A7A"/>
    <w:rsid w:val="001A2854"/>
    <w:rsid w:val="001C40B1"/>
    <w:rsid w:val="001E59BD"/>
    <w:rsid w:val="001F16AF"/>
    <w:rsid w:val="00284C67"/>
    <w:rsid w:val="002851E8"/>
    <w:rsid w:val="002B1228"/>
    <w:rsid w:val="002D7F64"/>
    <w:rsid w:val="002E748C"/>
    <w:rsid w:val="00314402"/>
    <w:rsid w:val="00336453"/>
    <w:rsid w:val="0035330B"/>
    <w:rsid w:val="00413686"/>
    <w:rsid w:val="00425759"/>
    <w:rsid w:val="00486FD8"/>
    <w:rsid w:val="004C05C5"/>
    <w:rsid w:val="004F3759"/>
    <w:rsid w:val="005A1811"/>
    <w:rsid w:val="005C098A"/>
    <w:rsid w:val="005F4F71"/>
    <w:rsid w:val="006756A8"/>
    <w:rsid w:val="00682587"/>
    <w:rsid w:val="007250F8"/>
    <w:rsid w:val="0074598B"/>
    <w:rsid w:val="00772CB3"/>
    <w:rsid w:val="007734BF"/>
    <w:rsid w:val="00787F97"/>
    <w:rsid w:val="0079422A"/>
    <w:rsid w:val="007B64DC"/>
    <w:rsid w:val="008417BB"/>
    <w:rsid w:val="00847A51"/>
    <w:rsid w:val="008579E8"/>
    <w:rsid w:val="00872B22"/>
    <w:rsid w:val="008C50C9"/>
    <w:rsid w:val="008E23B3"/>
    <w:rsid w:val="009710A7"/>
    <w:rsid w:val="009B4705"/>
    <w:rsid w:val="009B5854"/>
    <w:rsid w:val="009B69AC"/>
    <w:rsid w:val="00A66CFC"/>
    <w:rsid w:val="00AC48D2"/>
    <w:rsid w:val="00B00F75"/>
    <w:rsid w:val="00B02368"/>
    <w:rsid w:val="00B108DB"/>
    <w:rsid w:val="00B136E8"/>
    <w:rsid w:val="00B15B8F"/>
    <w:rsid w:val="00B61921"/>
    <w:rsid w:val="00BC0AA0"/>
    <w:rsid w:val="00BC1B61"/>
    <w:rsid w:val="00BD15E9"/>
    <w:rsid w:val="00BD3655"/>
    <w:rsid w:val="00C4716C"/>
    <w:rsid w:val="00C54738"/>
    <w:rsid w:val="00C6170B"/>
    <w:rsid w:val="00C72121"/>
    <w:rsid w:val="00CB4E3B"/>
    <w:rsid w:val="00CF40B5"/>
    <w:rsid w:val="00D52021"/>
    <w:rsid w:val="00D55080"/>
    <w:rsid w:val="00D941E7"/>
    <w:rsid w:val="00DC083E"/>
    <w:rsid w:val="00DF1F85"/>
    <w:rsid w:val="00E1367B"/>
    <w:rsid w:val="00E16D16"/>
    <w:rsid w:val="00E50FF6"/>
    <w:rsid w:val="00E6680F"/>
    <w:rsid w:val="00E9074E"/>
    <w:rsid w:val="00EA7427"/>
    <w:rsid w:val="00EB5250"/>
    <w:rsid w:val="00EC262C"/>
    <w:rsid w:val="00EC4F8B"/>
    <w:rsid w:val="00ED01B8"/>
    <w:rsid w:val="00ED45EE"/>
    <w:rsid w:val="00EF0030"/>
    <w:rsid w:val="00F10A65"/>
    <w:rsid w:val="00F1680A"/>
    <w:rsid w:val="00FB0073"/>
    <w:rsid w:val="00FB6291"/>
    <w:rsid w:val="00FD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3CB6DD78"/>
  <w15:chartTrackingRefBased/>
  <w15:docId w15:val="{54605ABB-4A4E-4638-A608-A5C7A756A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07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D27F6"/>
    <w:pPr>
      <w:keepNext/>
      <w:keepLines/>
      <w:spacing w:after="120"/>
      <w:outlineLvl w:val="0"/>
    </w:pPr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D27F6"/>
    <w:pPr>
      <w:keepNext/>
      <w:keepLines/>
      <w:spacing w:after="120"/>
      <w:outlineLvl w:val="1"/>
    </w:pPr>
    <w:rPr>
      <w:rFonts w:ascii="Arial" w:eastAsiaTheme="majorEastAsia" w:hAnsi="Arial" w:cstheme="majorBidi"/>
      <w:b/>
      <w:color w:val="000000" w:themeColor="text1"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168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5A18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A181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5A18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A1811"/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D27F6"/>
    <w:rPr>
      <w:rFonts w:ascii="Arial" w:eastAsiaTheme="majorEastAsia" w:hAnsi="Arial" w:cstheme="majorBidi"/>
      <w:b/>
      <w:color w:val="000000" w:themeColor="text1"/>
      <w:sz w:val="24"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D27F6"/>
    <w:rPr>
      <w:rFonts w:ascii="Arial" w:eastAsiaTheme="majorEastAsia" w:hAnsi="Arial" w:cstheme="majorBidi"/>
      <w:b/>
      <w:color w:val="000000" w:themeColor="text1"/>
      <w:sz w:val="24"/>
      <w:szCs w:val="26"/>
      <w:lang w:eastAsia="de-DE"/>
    </w:rPr>
  </w:style>
  <w:style w:type="paragraph" w:styleId="Listenabsatz">
    <w:name w:val="List Paragraph"/>
    <w:basedOn w:val="Standard"/>
    <w:uiPriority w:val="34"/>
    <w:qFormat/>
    <w:rsid w:val="00CF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6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770F83FC</Template>
  <TotalTime>0</TotalTime>
  <Pages>3</Pages>
  <Words>1005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Anhang 3 zum Überwachungsplan der Regierung - Beschreibung des Bewertungsschemas zur Ermittlung des risikobasierten Überwachungsturnus</vt:lpstr>
    </vt:vector>
  </TitlesOfParts>
  <Company>Benutzerservice der Behörden im GB UV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Anhang 3 zum Überwachungsplan der Regierung - Beschreibung des Bewertungsschemas zur Ermittlung des risikobasierten Überwachungsturnus</dc:title>
  <dc:subject/>
  <dc:creator>Rausch, Rodger, Dr. (STMUV)</dc:creator>
  <cp:keywords/>
  <dc:description/>
  <cp:lastModifiedBy>Hilbinger Renate</cp:lastModifiedBy>
  <cp:revision>3</cp:revision>
  <dcterms:created xsi:type="dcterms:W3CDTF">2022-02-07T16:56:00Z</dcterms:created>
  <dcterms:modified xsi:type="dcterms:W3CDTF">2022-02-07T17:04:00Z</dcterms:modified>
</cp:coreProperties>
</file>